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b/>
          <w:bCs/>
          <w:color w:val="151515"/>
          <w:sz w:val="24"/>
          <w:szCs w:val="24"/>
          <w:lang w:eastAsia="ru-RU"/>
        </w:rPr>
        <w:t xml:space="preserve">Отчет о проделанной работе по вопросам оказания государственных услуг в КГУ «Аппарат </w:t>
      </w:r>
      <w:proofErr w:type="spellStart"/>
      <w:r w:rsidRPr="00F26E28">
        <w:rPr>
          <w:rFonts w:ascii="Arial" w:eastAsia="Times New Roman" w:hAnsi="Arial" w:cs="Arial"/>
          <w:b/>
          <w:bCs/>
          <w:color w:val="151515"/>
          <w:sz w:val="24"/>
          <w:szCs w:val="24"/>
          <w:lang w:eastAsia="ru-RU"/>
        </w:rPr>
        <w:t>акима</w:t>
      </w:r>
      <w:proofErr w:type="spellEnd"/>
      <w:r w:rsidRPr="00F26E28">
        <w:rPr>
          <w:rFonts w:ascii="Arial" w:eastAsia="Times New Roman" w:hAnsi="Arial" w:cs="Arial"/>
          <w:b/>
          <w:bCs/>
          <w:color w:val="151515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color w:val="151515"/>
          <w:sz w:val="24"/>
          <w:szCs w:val="24"/>
          <w:lang w:eastAsia="ru-RU"/>
        </w:rPr>
        <w:t>Приишимского</w:t>
      </w:r>
      <w:proofErr w:type="spellEnd"/>
      <w:r w:rsidRPr="00F26E28">
        <w:rPr>
          <w:rFonts w:ascii="Arial" w:eastAsia="Times New Roman" w:hAnsi="Arial" w:cs="Arial"/>
          <w:b/>
          <w:bCs/>
          <w:color w:val="151515"/>
          <w:sz w:val="24"/>
          <w:szCs w:val="24"/>
          <w:lang w:eastAsia="ru-RU"/>
        </w:rPr>
        <w:t xml:space="preserve"> сельского округа района Шал акына СКО» за 2023 год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На основе Закона Республики Казахстан «О государственных услугах», аппарат </w:t>
      </w:r>
      <w:proofErr w:type="spell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акима</w:t>
      </w:r>
      <w:proofErr w:type="spell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Приишимского</w:t>
      </w:r>
      <w:proofErr w:type="spell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сельского округа обеспечивает реализацию государственной политики в сфере оказания </w:t>
      </w:r>
      <w:proofErr w:type="spell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государстенных</w:t>
      </w:r>
      <w:proofErr w:type="spell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услуг.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    Предоставление государственных услуг является </w:t>
      </w:r>
      <w:proofErr w:type="gram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одной  неотъемлемой</w:t>
      </w:r>
      <w:proofErr w:type="gram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и главной частью работы  нашего аппарата.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 КГУ «Аппарат </w:t>
      </w:r>
      <w:proofErr w:type="spell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акима</w:t>
      </w:r>
      <w:proofErr w:type="spell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proofErr w:type="gram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Приишимского</w:t>
      </w:r>
      <w:proofErr w:type="spell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 сельского</w:t>
      </w:r>
      <w:proofErr w:type="gram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округа» в соответствии с Реестром государственных услуг утвержденного приказом Министерства цифрового развития, инноваций и аэрокосмической промышленности Республики  Казахстан  (с изменениями и дополнениями на 01.01.2022 г.) местным исполнительным органом оказывается 5 государственных услуг:</w:t>
      </w:r>
    </w:p>
    <w:p w:rsidR="00F26E28" w:rsidRPr="00F26E28" w:rsidRDefault="00F26E28" w:rsidP="00F26E2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аукционов).</w:t>
      </w:r>
    </w:p>
    <w:p w:rsidR="00F26E28" w:rsidRPr="00F26E28" w:rsidRDefault="00F26E28" w:rsidP="00F26E2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Выдача решения на изменение целевого назначения земельного участка.</w:t>
      </w:r>
    </w:p>
    <w:p w:rsidR="00F26E28" w:rsidRPr="00F26E28" w:rsidRDefault="00F26E28" w:rsidP="00F26E2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Предоставление земельного участка для строительства объекта в черте населенного пункта.</w:t>
      </w:r>
    </w:p>
    <w:p w:rsidR="00F26E28" w:rsidRPr="00F26E28" w:rsidRDefault="00F26E28" w:rsidP="00F26E2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Продажа земельного участка в частную собственность единовременно или в рассрочку.</w:t>
      </w:r>
    </w:p>
    <w:p w:rsidR="00F26E28" w:rsidRPr="00F26E28" w:rsidRDefault="00F26E28" w:rsidP="00F26E2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Постановка на очередь на получение земельного участка.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 Наиболее востребованной услугой в сельском округе является «Приобретение прав на земельные участки, которые находятся в государственной собственности, не требующие проведения торгов (конкурсов, аукционов)»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 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proofErr w:type="gram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За  2023</w:t>
      </w:r>
      <w:proofErr w:type="gram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года аппаратом </w:t>
      </w:r>
      <w:proofErr w:type="spell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Приишимского</w:t>
      </w:r>
      <w:proofErr w:type="spell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сельского округа согласно Реестра было оказано государственных услуг – 7, из них:</w:t>
      </w:r>
    </w:p>
    <w:p w:rsidR="00F26E28" w:rsidRPr="00F26E28" w:rsidRDefault="00F26E28" w:rsidP="00F26E2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оказанных </w:t>
      </w:r>
      <w:proofErr w:type="spell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услугодателями</w:t>
      </w:r>
      <w:proofErr w:type="spell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в бумажной форме – 0;</w:t>
      </w:r>
    </w:p>
    <w:p w:rsidR="00F26E28" w:rsidRPr="00F26E28" w:rsidRDefault="00F26E28" w:rsidP="00F26E2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оказанных через веб-портал «электронного правительства» (через ЦОН) - 1</w:t>
      </w:r>
    </w:p>
    <w:p w:rsidR="00F26E28" w:rsidRPr="00F26E28" w:rsidRDefault="00F26E28" w:rsidP="00F26E2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оказанных через Информационную </w:t>
      </w:r>
      <w:proofErr w:type="spell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ситсему</w:t>
      </w:r>
      <w:proofErr w:type="spell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gram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« Государственная</w:t>
      </w:r>
      <w:proofErr w:type="gram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база данных Е-лицензирование – 6;</w:t>
      </w:r>
    </w:p>
    <w:p w:rsidR="00F26E28" w:rsidRPr="00F26E28" w:rsidRDefault="00F26E28" w:rsidP="00F26E2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так же через зону самообслуживания – 850 государственных услуг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 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  В целях повышения доступности населению государственных услуг, в аппарате </w:t>
      </w:r>
      <w:proofErr w:type="spell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акима</w:t>
      </w:r>
      <w:proofErr w:type="spell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работает зона самообслуживания, согласно которой население может получить </w:t>
      </w:r>
      <w:proofErr w:type="spell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государстенную</w:t>
      </w:r>
      <w:proofErr w:type="spell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услугу через портал eGov.kz При необходимости специалисты аппарата отвечают на возникшие вопросы граждан по пользованию портала, дают информацию о получении услуг при наличии электронной цифровой подписи.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   Благодаря сектору зоны самообслуживания граждане, не имеющие опыт работы с компьютером, проходят обучение самостоятельному пользованию и </w:t>
      </w: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lastRenderedPageBreak/>
        <w:t>обслуживанию через портал электронного правительства, что позволит им, не выходя из дома получить все государственные услуги.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В целях доступности и информирования населения по вопросам оказания государственных услуг в здании госучреждения размещен стенд с наглядной информацией (стандарты, перечень предоставляемых услуг, образцы заявления, журнал жалоб). В округе на постоянной основе проводится определенная работа по информированию населения по предоставлению государственных услуг: видео </w:t>
      </w:r>
      <w:proofErr w:type="gram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уроки,  информационно</w:t>
      </w:r>
      <w:proofErr w:type="gram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- разъяснительные работы, круглые столы и сельские сходы с выдачей брошюр и листовок по данной теме.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С </w:t>
      </w:r>
      <w:proofErr w:type="gramStart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начала  2023</w:t>
      </w:r>
      <w:proofErr w:type="gramEnd"/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года жалоб на оказание государственных услуг не поступало.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6207A6" w:rsidRDefault="00F26E28"/>
    <w:p w:rsidR="00F26E28" w:rsidRDefault="00F26E28">
      <w:bookmarkStart w:id="0" w:name="_GoBack"/>
      <w:bookmarkEnd w:id="0"/>
    </w:p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Default="00F26E28"/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Солтүстік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Қазақстан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облысы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Шал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ақын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Приишим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ауылдық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округі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әкімінің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аппараты» КММ-де 2023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жылға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қызмет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көрсету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бойынша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атқарылған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жұмыс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туралы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есеп</w:t>
      </w:r>
      <w:proofErr w:type="spellEnd"/>
      <w:r w:rsidRPr="00F26E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Қазақстан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Республикасының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көрсетілетін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туралы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Заңының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негізінде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Приишим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ауылдық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округі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әкімінің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аппараты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саласындағы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саясатты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іске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асыруды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қамтамасыз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етеді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біздің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аппарат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жұмысының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ажырамас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және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негізгі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бөлігі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болып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табылады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  <w:t>«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Приишим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ауылдық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округі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әкімінің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аппараты» КММ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Қазақстан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Республикасы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Цифрлық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даму,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инновациялар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және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аэроғарыш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өнеркәсібі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министрлігінің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бұйрығымен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бекітілген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көрсетілетін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тізіліміне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сәйкес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(01.01.2011 ж. 2022)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жергілікті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атқарушы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орган 5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көрсетеді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1.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Сауда-саттықты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конкурстарды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аукциондарды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талап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етпейтін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меншіктегі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учаскелеріне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құқықтарды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сатып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алу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2.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учаскесінің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нысаналы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мақсатын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өзгерту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туралы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шешім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шығару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3.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Елді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мекеннің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шекарасында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объект салу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үшін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учаскесін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беру.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4.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учаскесін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жеке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меншікке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бір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уақытта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немесе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бөліп-бөліп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сату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5.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телімін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алуға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кезекке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қою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Ауылдық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округтегі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ең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танымал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түрі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– «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меншіктегі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сауда-саттықты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конкурстарды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аукциондарды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талап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етпейтін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учаскелеріне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құқықтарды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сатып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алу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2023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жылы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Тізілімге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сәйкес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Приишим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ауылдық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округінің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қызметкерлерімен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7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көрсетілген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оның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ішінде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•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көрсетілетін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берушілер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қағаз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түрінде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көрсететін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– 0;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  <w:t>• «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электрондық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үкімет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» веб-порталы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арқылы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Халыққа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орталығы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арқылы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көрсетіледі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- 1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  <w:t>• «Е-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лицензиялаудың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деректер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базасы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– 6»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ақпараттық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жүйесі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арқылы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ұсынылады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•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сондай-ақ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өзіне-өзі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аймағы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арқылы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– 850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</w:t>
      </w:r>
      <w:proofErr w:type="spellEnd"/>
    </w:p>
    <w:p w:rsidR="00F26E28" w:rsidRPr="00F26E28" w:rsidRDefault="00F26E28" w:rsidP="00F26E2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Халыққа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қызметтердің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қолжетімділігін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арттыру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мақсатында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әкім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аппаратында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өзіне-өзі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аймағы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жұмыс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істейді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оған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сәйкес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халық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eGov.kz порталы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арқылы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ала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алады.Қажет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болған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жағдайда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аппарат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мамандары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азаматтардың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сұрақтарына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жауап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береді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порталды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пайдалану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электрондық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цифрлық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қолтаңбасы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болған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жағдайда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алу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туралы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ақпаратты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ұсыну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Өзіне-өзі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аймағы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секторының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арқасында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компьютерлік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тәжірибесі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жоқ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азаматтар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электронды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үкімет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порталы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арқылы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өз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бетінше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пайдалануға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және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техникалық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көрсетуге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үйретіледі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бұл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оларға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барлық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үйден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шықпай-ақ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алуға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мүмкіндік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береді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Қолжетімділік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және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халықты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мәселелері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бойынша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ақпараттандыру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мақсатында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органның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ғимаратында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көрнекі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ақпарат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стандарттар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көрсетілетін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қызметтердің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тізбесі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өтініш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үлгілері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шағымдар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журналы) бар стенд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орналастырылған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Ауданда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қызметтерді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бойынша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халықты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ақпараттандыру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бойынша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тұрақты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негізде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белгілі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жұмыстар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жүргізілуде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бейнесабақтар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ақпараттық-түсіндіру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жұмыстары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дөңгелек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үстелдер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және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осы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тақырып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бойынша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брошюралар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мен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парақшалар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шығару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арқылы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ауылдық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кездесулер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2023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жылдың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басынан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бері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мемлекеттік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көрсетуге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шағымдар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түскен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жоқ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6E28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Мемлекеттiк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қызметтердi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көрсетудiң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сапасы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мен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уақтылылығын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одан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әрi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арттыру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мәселелерi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тұрақты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бақылауға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алынып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мемлекеттiк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қызметтердi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көрсету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тәртiбiн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бұзудың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алдын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алу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шаралары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6E28">
        <w:rPr>
          <w:rFonts w:ascii="Arial" w:eastAsia="Times New Roman" w:hAnsi="Arial" w:cs="Arial"/>
          <w:sz w:val="24"/>
          <w:szCs w:val="24"/>
          <w:lang w:eastAsia="ru-RU"/>
        </w:rPr>
        <w:t>қабылдануда</w:t>
      </w:r>
      <w:proofErr w:type="spellEnd"/>
      <w:r w:rsidRPr="00F26E2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26E28" w:rsidRDefault="00F26E28" w:rsidP="00F26E28"/>
    <w:p w:rsidR="00F26E28" w:rsidRDefault="00F26E28" w:rsidP="00F26E28"/>
    <w:sectPr w:rsidR="00F26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A2451"/>
    <w:multiLevelType w:val="multilevel"/>
    <w:tmpl w:val="EFAE7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156F45"/>
    <w:multiLevelType w:val="multilevel"/>
    <w:tmpl w:val="CFFE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977"/>
    <w:rsid w:val="000D4E90"/>
    <w:rsid w:val="00A22977"/>
    <w:rsid w:val="00DB1B7F"/>
    <w:rsid w:val="00F2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52405"/>
  <w15:chartTrackingRefBased/>
  <w15:docId w15:val="{3859ED75-1317-4AF7-83A6-E1BA1063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55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966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4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2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5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36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2</cp:revision>
  <dcterms:created xsi:type="dcterms:W3CDTF">2024-05-03T05:12:00Z</dcterms:created>
  <dcterms:modified xsi:type="dcterms:W3CDTF">2024-05-03T05:12:00Z</dcterms:modified>
</cp:coreProperties>
</file>